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0" w:rsidRPr="005F282F" w:rsidRDefault="008A6848" w:rsidP="009772AE">
      <w:pPr>
        <w:jc w:val="center"/>
        <w:rPr>
          <w:rFonts w:asciiTheme="majorHAnsi" w:hAnsiTheme="majorHAnsi"/>
          <w:b/>
          <w:sz w:val="28"/>
          <w:szCs w:val="28"/>
        </w:rPr>
      </w:pPr>
      <w:r w:rsidRPr="005F282F">
        <w:rPr>
          <w:rFonts w:asciiTheme="majorHAnsi" w:hAnsiTheme="majorHAnsi"/>
          <w:b/>
          <w:sz w:val="28"/>
          <w:szCs w:val="28"/>
        </w:rPr>
        <w:t>Gmina Łochów Al. Pokoju 75, 07-130 Łochów</w:t>
      </w:r>
    </w:p>
    <w:p w:rsidR="008A6848" w:rsidRPr="005F282F" w:rsidRDefault="008A6848" w:rsidP="009772AE">
      <w:pPr>
        <w:jc w:val="center"/>
        <w:rPr>
          <w:rFonts w:asciiTheme="majorHAnsi" w:hAnsiTheme="majorHAnsi"/>
          <w:b/>
          <w:sz w:val="28"/>
          <w:szCs w:val="28"/>
        </w:rPr>
      </w:pPr>
      <w:r w:rsidRPr="005F282F">
        <w:rPr>
          <w:rFonts w:asciiTheme="majorHAnsi" w:hAnsiTheme="majorHAnsi"/>
          <w:b/>
          <w:sz w:val="28"/>
          <w:szCs w:val="28"/>
        </w:rPr>
        <w:t>Działka nr ew. 1201, 1205</w:t>
      </w:r>
    </w:p>
    <w:p w:rsidR="008A6848" w:rsidRDefault="008A6848" w:rsidP="009772AE">
      <w:pPr>
        <w:jc w:val="both"/>
        <w:rPr>
          <w:rFonts w:asciiTheme="majorHAnsi" w:hAnsiTheme="majorHAnsi"/>
          <w:sz w:val="28"/>
          <w:szCs w:val="28"/>
        </w:rPr>
      </w:pPr>
    </w:p>
    <w:p w:rsidR="00F24CEE" w:rsidRDefault="00F24CEE" w:rsidP="009772AE">
      <w:pPr>
        <w:jc w:val="both"/>
        <w:rPr>
          <w:rFonts w:asciiTheme="majorHAnsi" w:hAnsiTheme="majorHAnsi"/>
          <w:sz w:val="28"/>
          <w:szCs w:val="28"/>
        </w:rPr>
      </w:pPr>
    </w:p>
    <w:p w:rsidR="008A6848" w:rsidRPr="005F282F" w:rsidRDefault="008A6848" w:rsidP="009772AE">
      <w:pPr>
        <w:jc w:val="both"/>
        <w:rPr>
          <w:rFonts w:asciiTheme="majorHAnsi" w:hAnsiTheme="majorHAnsi"/>
          <w:b/>
          <w:sz w:val="28"/>
          <w:szCs w:val="28"/>
        </w:rPr>
      </w:pPr>
      <w:r w:rsidRPr="005F282F">
        <w:rPr>
          <w:rFonts w:asciiTheme="majorHAnsi" w:hAnsiTheme="majorHAnsi"/>
          <w:b/>
          <w:sz w:val="28"/>
          <w:szCs w:val="28"/>
        </w:rPr>
        <w:t>INWESTOR:   Gmina Łochów</w:t>
      </w:r>
    </w:p>
    <w:p w:rsidR="008A6848" w:rsidRDefault="008A6848" w:rsidP="005F282F">
      <w:pPr>
        <w:jc w:val="center"/>
        <w:rPr>
          <w:rFonts w:asciiTheme="majorHAnsi" w:hAnsiTheme="majorHAnsi"/>
          <w:b/>
          <w:sz w:val="32"/>
          <w:szCs w:val="32"/>
        </w:rPr>
      </w:pPr>
      <w:r w:rsidRPr="008A6848">
        <w:rPr>
          <w:rFonts w:asciiTheme="majorHAnsi" w:hAnsiTheme="majorHAnsi"/>
          <w:b/>
          <w:sz w:val="32"/>
          <w:szCs w:val="32"/>
        </w:rPr>
        <w:t>Specyfikacja Techniczna Wykonania i Odbioru Robót</w:t>
      </w: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F24CEE" w:rsidRDefault="00F24CEE" w:rsidP="005F282F">
      <w:pPr>
        <w:jc w:val="center"/>
        <w:rPr>
          <w:rFonts w:asciiTheme="majorHAnsi" w:hAnsiTheme="majorHAnsi"/>
          <w:b/>
          <w:sz w:val="32"/>
          <w:szCs w:val="32"/>
        </w:rPr>
      </w:pPr>
    </w:p>
    <w:p w:rsidR="008A6848" w:rsidRDefault="008A6848" w:rsidP="005F282F">
      <w:pPr>
        <w:jc w:val="center"/>
        <w:rPr>
          <w:rFonts w:asciiTheme="majorHAnsi" w:hAnsiTheme="majorHAnsi"/>
          <w:b/>
          <w:sz w:val="32"/>
          <w:szCs w:val="32"/>
        </w:rPr>
      </w:pPr>
      <w:r w:rsidRPr="008A6848">
        <w:rPr>
          <w:rFonts w:asciiTheme="majorHAnsi" w:hAnsiTheme="majorHAnsi"/>
          <w:b/>
          <w:sz w:val="32"/>
          <w:szCs w:val="32"/>
        </w:rPr>
        <w:t xml:space="preserve">„Plac zabaw przy Zespole Szkół w </w:t>
      </w:r>
      <w:proofErr w:type="spellStart"/>
      <w:r w:rsidRPr="008A6848">
        <w:rPr>
          <w:rFonts w:asciiTheme="majorHAnsi" w:hAnsiTheme="majorHAnsi"/>
          <w:b/>
          <w:sz w:val="32"/>
          <w:szCs w:val="32"/>
        </w:rPr>
        <w:t>Gwizdałach</w:t>
      </w:r>
      <w:proofErr w:type="spellEnd"/>
      <w:r w:rsidRPr="008A6848">
        <w:rPr>
          <w:rFonts w:asciiTheme="majorHAnsi" w:hAnsiTheme="majorHAnsi"/>
          <w:b/>
          <w:sz w:val="32"/>
          <w:szCs w:val="32"/>
        </w:rPr>
        <w:t xml:space="preserve"> w Ramach Rządowego Programu pn. „RADOSNA SZKOŁA””</w:t>
      </w: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 Sporządził.</w:t>
      </w: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8A6848" w:rsidRDefault="008A6848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5F282F" w:rsidRDefault="005F282F" w:rsidP="009772AE">
      <w:pPr>
        <w:jc w:val="both"/>
        <w:rPr>
          <w:rFonts w:asciiTheme="majorHAnsi" w:hAnsiTheme="majorHAnsi"/>
          <w:b/>
          <w:sz w:val="32"/>
          <w:szCs w:val="32"/>
        </w:rPr>
      </w:pPr>
    </w:p>
    <w:p w:rsidR="009770D1" w:rsidRPr="009772AE" w:rsidRDefault="00B9539E" w:rsidP="009772AE">
      <w:pPr>
        <w:pStyle w:val="Akapitzlist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</w:rPr>
      </w:pPr>
      <w:r w:rsidRPr="009772AE">
        <w:rPr>
          <w:rFonts w:asciiTheme="majorHAnsi" w:hAnsiTheme="majorHAnsi"/>
          <w:b/>
          <w:sz w:val="28"/>
          <w:szCs w:val="28"/>
        </w:rPr>
        <w:lastRenderedPageBreak/>
        <w:t>Szczegółowa Specyfikacja Techniczna</w:t>
      </w:r>
    </w:p>
    <w:p w:rsidR="00B9539E" w:rsidRPr="009772AE" w:rsidRDefault="00B9539E" w:rsidP="009772AE">
      <w:pPr>
        <w:pStyle w:val="Akapitzlist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</w:rPr>
      </w:pPr>
      <w:r w:rsidRPr="009772AE">
        <w:rPr>
          <w:rFonts w:asciiTheme="majorHAnsi" w:hAnsiTheme="majorHAnsi"/>
          <w:b/>
          <w:sz w:val="28"/>
          <w:szCs w:val="28"/>
        </w:rPr>
        <w:t>Roboty rozbiórkowe i przygotowawcze</w:t>
      </w:r>
    </w:p>
    <w:p w:rsidR="009770D1" w:rsidRPr="009772AE" w:rsidRDefault="00B9539E" w:rsidP="009772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Wstęp.</w:t>
      </w:r>
    </w:p>
    <w:p w:rsidR="009772AE" w:rsidRPr="009772AE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9539E" w:rsidRPr="009772AE" w:rsidRDefault="00B9539E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Przedmiot SST</w:t>
      </w:r>
    </w:p>
    <w:p w:rsidR="009772AE" w:rsidRPr="00B9539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8"/>
          <w:szCs w:val="28"/>
        </w:rPr>
      </w:pPr>
    </w:p>
    <w:p w:rsidR="00B9539E" w:rsidRDefault="00B9539E" w:rsidP="009772A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Przedmiotem niniejszej Szczegółowej Specyfikacji Technicznej są wymagania dotyczące wykonania i odbioru robót związanych z rozbiórką </w:t>
      </w:r>
      <w:r w:rsidR="008F47C8" w:rsidRPr="008F47C8">
        <w:rPr>
          <w:rFonts w:asciiTheme="majorHAnsi" w:hAnsiTheme="majorHAnsi"/>
          <w:sz w:val="24"/>
          <w:szCs w:val="24"/>
        </w:rPr>
        <w:t xml:space="preserve">istniejącego </w:t>
      </w:r>
      <w:r w:rsidRPr="00940D79">
        <w:rPr>
          <w:rFonts w:asciiTheme="majorHAnsi" w:hAnsiTheme="majorHAnsi"/>
          <w:sz w:val="24"/>
          <w:szCs w:val="24"/>
        </w:rPr>
        <w:t xml:space="preserve">ogrodzenia na placu zabaw </w:t>
      </w:r>
      <w:r w:rsidR="008F47C8">
        <w:rPr>
          <w:rFonts w:asciiTheme="majorHAnsi" w:hAnsiTheme="majorHAnsi"/>
          <w:sz w:val="24"/>
          <w:szCs w:val="24"/>
        </w:rPr>
        <w:t xml:space="preserve">i rozbiórką </w:t>
      </w:r>
      <w:r w:rsidRPr="00940D79">
        <w:rPr>
          <w:rFonts w:asciiTheme="majorHAnsi" w:hAnsiTheme="majorHAnsi"/>
          <w:sz w:val="24"/>
          <w:szCs w:val="24"/>
        </w:rPr>
        <w:t xml:space="preserve"> istniejącej </w:t>
      </w:r>
      <w:r w:rsidR="00A67938" w:rsidRPr="00940D79">
        <w:rPr>
          <w:rFonts w:asciiTheme="majorHAnsi" w:hAnsiTheme="majorHAnsi"/>
          <w:sz w:val="24"/>
          <w:szCs w:val="24"/>
        </w:rPr>
        <w:t>nawierzchni bezpiecznej wylewanej poliuretanowej</w:t>
      </w:r>
      <w:r w:rsidRPr="00940D79">
        <w:rPr>
          <w:rFonts w:asciiTheme="majorHAnsi" w:hAnsiTheme="majorHAnsi"/>
          <w:sz w:val="24"/>
          <w:szCs w:val="24"/>
        </w:rPr>
        <w:t xml:space="preserve"> w ramach zadania </w:t>
      </w:r>
      <w:r w:rsidR="00A67938" w:rsidRPr="00940D79">
        <w:rPr>
          <w:rFonts w:asciiTheme="majorHAnsi" w:hAnsiTheme="majorHAnsi"/>
          <w:sz w:val="24"/>
          <w:szCs w:val="24"/>
        </w:rPr>
        <w:t xml:space="preserve">wymiany nawierzchni placu zabaw przy Zespole Szkół w </w:t>
      </w:r>
      <w:proofErr w:type="spellStart"/>
      <w:r w:rsidR="00A67938" w:rsidRPr="00940D79">
        <w:rPr>
          <w:rFonts w:asciiTheme="majorHAnsi" w:hAnsiTheme="majorHAnsi"/>
          <w:sz w:val="24"/>
          <w:szCs w:val="24"/>
        </w:rPr>
        <w:t>Gwizdałach</w:t>
      </w:r>
      <w:proofErr w:type="spellEnd"/>
      <w:r w:rsidR="00A67938" w:rsidRPr="00940D79">
        <w:rPr>
          <w:rFonts w:asciiTheme="majorHAnsi" w:hAnsiTheme="majorHAnsi"/>
          <w:sz w:val="24"/>
          <w:szCs w:val="24"/>
        </w:rPr>
        <w:t>.</w:t>
      </w:r>
    </w:p>
    <w:p w:rsidR="009772AE" w:rsidRPr="009772AE" w:rsidRDefault="009772AE" w:rsidP="009772A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B9539E" w:rsidRPr="009772AE" w:rsidRDefault="00B9539E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Zakres stosowania SST.</w:t>
      </w:r>
    </w:p>
    <w:p w:rsidR="009772AE" w:rsidRPr="008F47C8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8"/>
          <w:szCs w:val="28"/>
        </w:rPr>
      </w:pPr>
    </w:p>
    <w:p w:rsidR="00B9539E" w:rsidRDefault="00B9539E" w:rsidP="009772A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Szczegółowa Specyfikacja Techniczna jest stosowana jako dokument przetargowy i kontraktowy przy zleceniu i realizacji robót wymienionych w punkcje 1.1.</w:t>
      </w:r>
    </w:p>
    <w:p w:rsidR="009772AE" w:rsidRPr="00940D79" w:rsidRDefault="009772AE" w:rsidP="009772A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B9539E" w:rsidRPr="009772AE" w:rsidRDefault="00B9539E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 xml:space="preserve">Zakres robót objętych </w:t>
      </w:r>
      <w:proofErr w:type="spellStart"/>
      <w:r w:rsidRPr="009772AE">
        <w:rPr>
          <w:rFonts w:asciiTheme="majorHAnsi" w:hAnsiTheme="majorHAnsi"/>
          <w:b/>
          <w:sz w:val="24"/>
          <w:szCs w:val="24"/>
        </w:rPr>
        <w:t>SSt</w:t>
      </w:r>
      <w:proofErr w:type="spellEnd"/>
      <w:r w:rsidRPr="009772AE">
        <w:rPr>
          <w:rFonts w:asciiTheme="majorHAnsi" w:hAnsiTheme="majorHAnsi"/>
          <w:b/>
          <w:sz w:val="24"/>
          <w:szCs w:val="24"/>
        </w:rPr>
        <w:t>.</w:t>
      </w:r>
    </w:p>
    <w:p w:rsidR="009772AE" w:rsidRPr="008F47C8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8"/>
          <w:szCs w:val="28"/>
        </w:rPr>
      </w:pPr>
    </w:p>
    <w:p w:rsidR="00B9539E" w:rsidRPr="00940D79" w:rsidRDefault="00607C47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Ustalenia zawarte w niniejszej Szczegółowej Specyfikacji Technicznej obejmują wszystkie czynności umożliwiające i </w:t>
      </w:r>
      <w:r w:rsidR="00A67938" w:rsidRPr="00940D79">
        <w:rPr>
          <w:rFonts w:asciiTheme="majorHAnsi" w:hAnsiTheme="majorHAnsi"/>
          <w:sz w:val="24"/>
          <w:szCs w:val="24"/>
        </w:rPr>
        <w:t>mające</w:t>
      </w:r>
      <w:r w:rsidRPr="00940D79">
        <w:rPr>
          <w:rFonts w:asciiTheme="majorHAnsi" w:hAnsiTheme="majorHAnsi"/>
          <w:sz w:val="24"/>
          <w:szCs w:val="24"/>
        </w:rPr>
        <w:t xml:space="preserve"> na celu wykonanie rozbiórki elementów istniejących :</w:t>
      </w:r>
    </w:p>
    <w:p w:rsidR="00607C47" w:rsidRPr="00940D79" w:rsidRDefault="00607C47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- demontaż ogrodzenia</w:t>
      </w:r>
      <w:r w:rsidR="005F282F">
        <w:rPr>
          <w:rFonts w:asciiTheme="majorHAnsi" w:hAnsiTheme="majorHAnsi"/>
          <w:sz w:val="24"/>
          <w:szCs w:val="24"/>
        </w:rPr>
        <w:t xml:space="preserve"> panelowego</w:t>
      </w:r>
      <w:r w:rsidRPr="00940D79">
        <w:rPr>
          <w:rFonts w:asciiTheme="majorHAnsi" w:hAnsiTheme="majorHAnsi"/>
          <w:sz w:val="24"/>
          <w:szCs w:val="24"/>
        </w:rPr>
        <w:t>,</w:t>
      </w:r>
    </w:p>
    <w:p w:rsidR="00607C47" w:rsidRPr="00940D79" w:rsidRDefault="00607C47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- demontaż </w:t>
      </w:r>
      <w:r w:rsidR="00A67938" w:rsidRPr="00940D79">
        <w:rPr>
          <w:rFonts w:asciiTheme="majorHAnsi" w:hAnsiTheme="majorHAnsi"/>
          <w:sz w:val="24"/>
          <w:szCs w:val="24"/>
        </w:rPr>
        <w:t>wykładziny gumowej poliuretanowej</w:t>
      </w:r>
      <w:r w:rsidR="005F282F">
        <w:rPr>
          <w:rFonts w:asciiTheme="majorHAnsi" w:hAnsiTheme="majorHAnsi"/>
          <w:sz w:val="24"/>
          <w:szCs w:val="24"/>
        </w:rPr>
        <w:t>,</w:t>
      </w:r>
    </w:p>
    <w:p w:rsidR="00A67938" w:rsidRDefault="00A67938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- utylizacja zdemontowanej wykładziny poliuretanowej</w:t>
      </w:r>
      <w:r w:rsidR="005F282F">
        <w:rPr>
          <w:rFonts w:asciiTheme="majorHAnsi" w:hAnsiTheme="majorHAnsi"/>
          <w:sz w:val="24"/>
          <w:szCs w:val="24"/>
        </w:rPr>
        <w:t>,</w:t>
      </w:r>
    </w:p>
    <w:p w:rsidR="005F282F" w:rsidRDefault="005F282F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wykonanie nowej wykładziny poliuretanowej,</w:t>
      </w:r>
    </w:p>
    <w:p w:rsidR="008F47C8" w:rsidRDefault="008F47C8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5F282F">
        <w:rPr>
          <w:rFonts w:asciiTheme="majorHAnsi" w:hAnsiTheme="majorHAnsi"/>
          <w:sz w:val="24"/>
          <w:szCs w:val="24"/>
        </w:rPr>
        <w:t>przekopanie darni i rozścielenie trawy z rolki,</w:t>
      </w:r>
    </w:p>
    <w:p w:rsidR="005F282F" w:rsidRDefault="005F282F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montaż paneli ogrodzeniowych.</w:t>
      </w:r>
    </w:p>
    <w:p w:rsidR="009772AE" w:rsidRPr="00940D79" w:rsidRDefault="009772AE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07C47" w:rsidRPr="00F24CEE" w:rsidRDefault="00607C47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24CEE">
        <w:rPr>
          <w:rFonts w:asciiTheme="majorHAnsi" w:hAnsiTheme="majorHAnsi"/>
          <w:b/>
          <w:sz w:val="24"/>
          <w:szCs w:val="24"/>
        </w:rPr>
        <w:t>Określenia podstawowe.</w:t>
      </w:r>
    </w:p>
    <w:p w:rsidR="009772AE" w:rsidRPr="009772A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</w:p>
    <w:p w:rsidR="00607C47" w:rsidRPr="00940D79" w:rsidRDefault="00607C47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Określenia podstawowe w niniejszej SST są zgodne z obowiązującymi odpowiednimi normami oraz z określeniami.</w:t>
      </w:r>
    </w:p>
    <w:p w:rsidR="008F47C8" w:rsidRDefault="00607C47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Wykonawca robót jest odpowiedzialny za jakość ich wykonania oraz za zgodność z dokumentacja projektową, SST i poleceniami Inżyniera. </w:t>
      </w:r>
    </w:p>
    <w:p w:rsidR="009772AE" w:rsidRDefault="009772AE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07C47" w:rsidRPr="00F24CEE" w:rsidRDefault="00F24CEE" w:rsidP="00F24CE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- </w:t>
      </w:r>
      <w:r w:rsidR="00607C47" w:rsidRPr="00F24CEE">
        <w:rPr>
          <w:rFonts w:asciiTheme="majorHAnsi" w:hAnsiTheme="majorHAnsi"/>
          <w:b/>
          <w:sz w:val="24"/>
          <w:szCs w:val="24"/>
        </w:rPr>
        <w:t>Materiały.</w:t>
      </w:r>
    </w:p>
    <w:p w:rsidR="009772AE" w:rsidRPr="008F47C8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607C47" w:rsidRPr="00F24CEE" w:rsidRDefault="00607C47" w:rsidP="00F24CE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Materiały z rozbiórki powinny być na jego koszt usunięte z zachowaniem przepisów ochrony środowiska.</w:t>
      </w:r>
    </w:p>
    <w:p w:rsidR="00607C47" w:rsidRPr="00F24CEE" w:rsidRDefault="00607C47" w:rsidP="00F24CE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24CEE">
        <w:rPr>
          <w:rFonts w:asciiTheme="majorHAnsi" w:hAnsiTheme="majorHAnsi"/>
          <w:sz w:val="24"/>
          <w:szCs w:val="24"/>
        </w:rPr>
        <w:t xml:space="preserve">Materiały przewidziane do powtórnego </w:t>
      </w:r>
      <w:r w:rsidR="00A67938" w:rsidRPr="00F24CEE">
        <w:rPr>
          <w:rFonts w:asciiTheme="majorHAnsi" w:hAnsiTheme="majorHAnsi"/>
          <w:sz w:val="24"/>
          <w:szCs w:val="24"/>
        </w:rPr>
        <w:t>użycia</w:t>
      </w:r>
      <w:r w:rsidRPr="00F24CEE">
        <w:rPr>
          <w:rFonts w:asciiTheme="majorHAnsi" w:hAnsiTheme="majorHAnsi"/>
          <w:sz w:val="24"/>
          <w:szCs w:val="24"/>
        </w:rPr>
        <w:t xml:space="preserve"> należy zagospodarować w porozumieniu z Inżynierem i w miejscu przez niego wskazanym</w:t>
      </w:r>
      <w:r w:rsidRPr="00F24CEE">
        <w:rPr>
          <w:rFonts w:asciiTheme="majorHAnsi" w:hAnsiTheme="majorHAnsi"/>
          <w:sz w:val="28"/>
          <w:szCs w:val="28"/>
        </w:rPr>
        <w:t>.</w:t>
      </w:r>
    </w:p>
    <w:p w:rsidR="008F47C8" w:rsidRDefault="008F47C8" w:rsidP="009772AE">
      <w:pPr>
        <w:pStyle w:val="Akapitzlist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607C47" w:rsidRDefault="00F24CEE" w:rsidP="00F24CE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- </w:t>
      </w:r>
      <w:r w:rsidR="00607C47" w:rsidRPr="008F47C8">
        <w:rPr>
          <w:rFonts w:asciiTheme="majorHAnsi" w:hAnsiTheme="majorHAnsi"/>
          <w:b/>
          <w:sz w:val="28"/>
          <w:szCs w:val="28"/>
        </w:rPr>
        <w:t>Sprzęt</w:t>
      </w:r>
      <w:r w:rsidR="00280E62" w:rsidRPr="008F47C8">
        <w:rPr>
          <w:rFonts w:asciiTheme="majorHAnsi" w:hAnsiTheme="majorHAnsi"/>
          <w:b/>
          <w:sz w:val="28"/>
          <w:szCs w:val="28"/>
        </w:rPr>
        <w:t>.</w:t>
      </w:r>
    </w:p>
    <w:p w:rsidR="009772AE" w:rsidRPr="008F47C8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280E62" w:rsidRPr="00940D79" w:rsidRDefault="00280E62" w:rsidP="00F24CE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Zastosowany sprzęt winien być zgodny z projektem organizacji robót zaakceptowanym przez Inżyniera.</w:t>
      </w:r>
    </w:p>
    <w:p w:rsidR="00280E62" w:rsidRPr="00940D79" w:rsidRDefault="00280E62" w:rsidP="00F24CE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lastRenderedPageBreak/>
        <w:t xml:space="preserve">Aby zminimalizować uciążliwości związane z hałasem, szczególnie przy robotach na obiekcie w strefie zabudowanej, należy wykonać prace w sposób zorganizowany na pierwszej lub drugiej zmianie. </w:t>
      </w:r>
    </w:p>
    <w:p w:rsidR="00607C47" w:rsidRPr="00940D79" w:rsidRDefault="00280E62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W związku z prowadzeniem robót na ściśle wydzielonym fragmencie placu zabaw sprzęt nie może powodować uszkodzeń poza obszarem przebudowy wyznaczonym w projekcie zagospodarowania terenu.</w:t>
      </w:r>
    </w:p>
    <w:p w:rsidR="00280E62" w:rsidRPr="00940D79" w:rsidRDefault="00803354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Wykonawca przystępujący do profilowania podłoża powinien wykazać się możliwością korzystania z następującego sprzętu:</w:t>
      </w:r>
    </w:p>
    <w:p w:rsidR="00803354" w:rsidRPr="00940D79" w:rsidRDefault="00803354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- równiarek lub spycharek uniwersalnych z ukośnie stawionym lemieszem: Inżynier może dopuścić </w:t>
      </w:r>
      <w:r w:rsidR="007278AB" w:rsidRPr="00940D79">
        <w:rPr>
          <w:rFonts w:asciiTheme="majorHAnsi" w:hAnsiTheme="majorHAnsi"/>
          <w:sz w:val="24"/>
          <w:szCs w:val="24"/>
        </w:rPr>
        <w:t xml:space="preserve"> wykonanie koryta i profilowanie podłoża z zastosowaniem spycharki z lemieszem ustawionym prostopadle do kierunku pracy maszyny,</w:t>
      </w:r>
    </w:p>
    <w:p w:rsidR="007278AB" w:rsidRPr="00940D79" w:rsidRDefault="007278AB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>- walców statycznych, wibracyjnych lub płyt wibracyjnych,</w:t>
      </w:r>
    </w:p>
    <w:p w:rsidR="007278AB" w:rsidRDefault="007278AB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40D79">
        <w:rPr>
          <w:rFonts w:asciiTheme="majorHAnsi" w:hAnsiTheme="majorHAnsi"/>
          <w:sz w:val="24"/>
          <w:szCs w:val="24"/>
        </w:rPr>
        <w:t xml:space="preserve">Stosowany sprzęt </w:t>
      </w:r>
      <w:r w:rsidR="008F47C8">
        <w:rPr>
          <w:rFonts w:asciiTheme="majorHAnsi" w:hAnsiTheme="majorHAnsi"/>
          <w:sz w:val="24"/>
          <w:szCs w:val="24"/>
        </w:rPr>
        <w:t>nie może spowodować niekorzystnego</w:t>
      </w:r>
      <w:r w:rsidRPr="00940D79">
        <w:rPr>
          <w:rFonts w:asciiTheme="majorHAnsi" w:hAnsiTheme="majorHAnsi"/>
          <w:sz w:val="24"/>
          <w:szCs w:val="24"/>
        </w:rPr>
        <w:t xml:space="preserve"> wpływ na właściwości gruntu.</w:t>
      </w:r>
    </w:p>
    <w:p w:rsidR="009772AE" w:rsidRPr="00940D79" w:rsidRDefault="009772AE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0E62" w:rsidRDefault="00F24CEE" w:rsidP="00F24CE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- </w:t>
      </w:r>
      <w:r w:rsidR="00940D79" w:rsidRPr="008F47C8">
        <w:rPr>
          <w:rFonts w:asciiTheme="majorHAnsi" w:hAnsiTheme="majorHAnsi"/>
          <w:b/>
          <w:sz w:val="24"/>
          <w:szCs w:val="24"/>
        </w:rPr>
        <w:t>Transport</w:t>
      </w:r>
    </w:p>
    <w:p w:rsidR="009772AE" w:rsidRPr="008F47C8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40D79" w:rsidRPr="00F24CEE" w:rsidRDefault="00940D79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Transport zdjętej wykładziny poliuretanowej, urządzeń pomocniczych i sprzętu dowolnymi środkami transportowymi.</w:t>
      </w:r>
    </w:p>
    <w:p w:rsidR="009772AE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40D79" w:rsidRDefault="00940D79" w:rsidP="009772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Wykonanie robót</w:t>
      </w:r>
      <w:r w:rsidR="008F47C8" w:rsidRPr="008F47C8">
        <w:rPr>
          <w:rFonts w:asciiTheme="majorHAnsi" w:hAnsiTheme="majorHAnsi"/>
          <w:b/>
          <w:sz w:val="24"/>
          <w:szCs w:val="24"/>
        </w:rPr>
        <w:t>.</w:t>
      </w:r>
    </w:p>
    <w:p w:rsidR="009772AE" w:rsidRPr="008F47C8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40D79" w:rsidRDefault="00940D79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Ogólne zasady wykonania robót</w:t>
      </w:r>
    </w:p>
    <w:p w:rsidR="009772AE" w:rsidRPr="008F47C8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940D79" w:rsidRDefault="00940D79" w:rsidP="009772AE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Ogólne zasady wykonania robót podano w SST „Wymagania ogólne”</w:t>
      </w:r>
    </w:p>
    <w:p w:rsidR="0062574E" w:rsidRPr="008F47C8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940D79" w:rsidRPr="00F24CEE" w:rsidRDefault="00940D79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Wykonawca przedstawi Inżynierowi do akceptacji projekt organizacji i harmonogram robót uwzględniający wszystkie warunki, w jakich będą wykonywane roboty.</w:t>
      </w:r>
    </w:p>
    <w:p w:rsidR="002604BC" w:rsidRPr="00F24CEE" w:rsidRDefault="00940D79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Przed przystąpieniem do robót należy wykonać przekopy kontrolne dla ustalenia ewentualnego przebiegu urządzeń uzbrojenia terenu. W przypadku natrafienia </w:t>
      </w:r>
      <w:r w:rsidR="002604BC" w:rsidRPr="00F24CEE">
        <w:rPr>
          <w:rFonts w:asciiTheme="majorHAnsi" w:hAnsiTheme="majorHAnsi"/>
          <w:sz w:val="24"/>
          <w:szCs w:val="24"/>
        </w:rPr>
        <w:t>na kolizję dalsze roboty należy prowadzić pod nadzorem służb branżowych.</w:t>
      </w:r>
    </w:p>
    <w:p w:rsidR="00940D79" w:rsidRPr="00F24CEE" w:rsidRDefault="002604BC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Wszystkie obiekty znajdujące się na ternie robót , nie przeznaczone do usunięcia powinny być przez Wykonawcę zabezpieczone przed uszkodzeniem. Jeżeli </w:t>
      </w:r>
      <w:r w:rsidR="00940D79" w:rsidRPr="00F24CEE">
        <w:rPr>
          <w:rFonts w:asciiTheme="majorHAnsi" w:hAnsiTheme="majorHAnsi"/>
          <w:sz w:val="24"/>
          <w:szCs w:val="24"/>
        </w:rPr>
        <w:t xml:space="preserve"> </w:t>
      </w:r>
      <w:r w:rsidRPr="00F24CEE">
        <w:rPr>
          <w:rFonts w:asciiTheme="majorHAnsi" w:hAnsiTheme="majorHAnsi"/>
          <w:sz w:val="24"/>
          <w:szCs w:val="24"/>
        </w:rPr>
        <w:t>obiekty, które mają być zachowane, zostaną uszkodzone lub zniszczone przez Wykonawcę, to powinny one być odtworzone na koszt Wykonawcy, w sposób zaakceptowany przez Zamawiającego.</w:t>
      </w:r>
    </w:p>
    <w:p w:rsidR="0062574E" w:rsidRDefault="0062574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2604BC" w:rsidRDefault="002604BC" w:rsidP="009772AE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Ogólne zasady wykonania robót.</w:t>
      </w:r>
    </w:p>
    <w:p w:rsidR="0062574E" w:rsidRPr="008F47C8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2604BC" w:rsidRPr="00F24CEE" w:rsidRDefault="002604BC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Wykonawca powinien przystąpić do profilowania i zagęszczenia podłoża bezpośrednio po zakończeniu robót </w:t>
      </w:r>
      <w:r w:rsidR="00451D41" w:rsidRPr="00F24CEE">
        <w:rPr>
          <w:rFonts w:asciiTheme="majorHAnsi" w:hAnsiTheme="majorHAnsi"/>
          <w:sz w:val="24"/>
          <w:szCs w:val="24"/>
        </w:rPr>
        <w:t xml:space="preserve"> rozbiórkowych i niwelacji terenu i przed rozpoczęciem robót związanych z wykonaniem warstw nawierzchni. Wcześniejsze przystąpienie do profilowania i zagęszczenia podłoża jest możliwe wyłącznie za zgodą Inżyniera, w korzystnych warunkach atmosferycznych. Po wyprofilowanym i zagęszczonym podłożu nie może odbywać się ruch budowlany niezwiązany bezpośrednio z wykonaniem pierwszej warstwy nawierzchni.</w:t>
      </w:r>
    </w:p>
    <w:p w:rsidR="008F47C8" w:rsidRDefault="008F47C8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451D41" w:rsidRDefault="00451D41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Elementy możliwe do powtórnego wykorzystania.</w:t>
      </w:r>
    </w:p>
    <w:p w:rsidR="0062574E" w:rsidRPr="008F47C8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451D41" w:rsidRPr="00F24CEE" w:rsidRDefault="00451D4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lastRenderedPageBreak/>
        <w:t>Wszystkie elementy stanowiące własność Zamawiającego możliwe do powtórnego wykorzystania Wykonawca powinien przewieźć na miejsce wskazane przez Inżyniera.</w:t>
      </w:r>
    </w:p>
    <w:p w:rsidR="008F47C8" w:rsidRDefault="008F47C8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451D41" w:rsidRDefault="00451D41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47C8">
        <w:rPr>
          <w:rFonts w:asciiTheme="majorHAnsi" w:hAnsiTheme="majorHAnsi"/>
          <w:b/>
          <w:sz w:val="24"/>
          <w:szCs w:val="24"/>
        </w:rPr>
        <w:t>Wykonanie prac.</w:t>
      </w:r>
    </w:p>
    <w:p w:rsidR="0062574E" w:rsidRPr="008F47C8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451D41" w:rsidRPr="00F24CEE" w:rsidRDefault="00451D4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Humus i żwir należy zdjąć sprzętem zmechanizowanym lub ręcznie a następnie przetransportować na miejsce wskazane w Dokumentacji Projektowej. Tam humus i żwir należy zagospodarować – rozplantować lub ułożyć w pryzmę w określonym w dokumentacji projektowej miejscu na terenie Zespołu Szkół w </w:t>
      </w:r>
      <w:proofErr w:type="spellStart"/>
      <w:r w:rsidRPr="00F24CEE">
        <w:rPr>
          <w:rFonts w:asciiTheme="majorHAnsi" w:hAnsiTheme="majorHAnsi"/>
          <w:sz w:val="24"/>
          <w:szCs w:val="24"/>
        </w:rPr>
        <w:t>Gwizdałach</w:t>
      </w:r>
      <w:proofErr w:type="spellEnd"/>
      <w:r w:rsidRPr="00F24CEE">
        <w:rPr>
          <w:rFonts w:asciiTheme="majorHAnsi" w:hAnsiTheme="majorHAnsi"/>
          <w:sz w:val="24"/>
          <w:szCs w:val="24"/>
        </w:rPr>
        <w:t>.</w:t>
      </w:r>
    </w:p>
    <w:p w:rsidR="008F47C8" w:rsidRDefault="008F47C8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451D41" w:rsidRDefault="00451D41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8F47C8">
        <w:rPr>
          <w:rFonts w:asciiTheme="majorHAnsi" w:hAnsiTheme="majorHAnsi"/>
          <w:b/>
          <w:sz w:val="24"/>
          <w:szCs w:val="24"/>
        </w:rPr>
        <w:t>Profilowanie i zagęszczanie podłoża.</w:t>
      </w:r>
    </w:p>
    <w:p w:rsidR="0062574E" w:rsidRPr="008F47C8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451D41" w:rsidRPr="00F24CEE" w:rsidRDefault="00451D4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Przed przystąpieniem do profilowania podłoże powinno być oczyszczone ze wszelkich zanieczyszczeń.</w:t>
      </w:r>
    </w:p>
    <w:p w:rsidR="00451D41" w:rsidRPr="00F24CEE" w:rsidRDefault="00451D41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Po oczyszczeniu powierzchni podłoża należy sprawdzić czy istniejące rzędne terenu </w:t>
      </w:r>
      <w:r w:rsidR="00762C52" w:rsidRPr="00F24CEE">
        <w:rPr>
          <w:rFonts w:asciiTheme="majorHAnsi" w:hAnsiTheme="majorHAnsi"/>
          <w:sz w:val="24"/>
          <w:szCs w:val="24"/>
        </w:rPr>
        <w:t>umożliwiają</w:t>
      </w:r>
      <w:r w:rsidRPr="00F24CEE">
        <w:rPr>
          <w:rFonts w:asciiTheme="majorHAnsi" w:hAnsiTheme="majorHAnsi"/>
          <w:sz w:val="24"/>
          <w:szCs w:val="24"/>
        </w:rPr>
        <w:t xml:space="preserve"> </w:t>
      </w:r>
      <w:r w:rsidR="00762C52" w:rsidRPr="00F24CEE">
        <w:rPr>
          <w:rFonts w:asciiTheme="majorHAnsi" w:hAnsiTheme="majorHAnsi"/>
          <w:sz w:val="24"/>
          <w:szCs w:val="24"/>
        </w:rPr>
        <w:t>uzyskanie</w:t>
      </w:r>
      <w:r w:rsidRPr="00F24CEE">
        <w:rPr>
          <w:rFonts w:asciiTheme="majorHAnsi" w:hAnsiTheme="majorHAnsi"/>
          <w:sz w:val="24"/>
          <w:szCs w:val="24"/>
        </w:rPr>
        <w:t xml:space="preserve"> po profilowaniu za</w:t>
      </w:r>
      <w:r w:rsidR="00762C52" w:rsidRPr="00F24CEE">
        <w:rPr>
          <w:rFonts w:asciiTheme="majorHAnsi" w:hAnsiTheme="majorHAnsi"/>
          <w:sz w:val="24"/>
          <w:szCs w:val="24"/>
        </w:rPr>
        <w:t>projektowanych rzędnych podłoża. Zaleca się aby rzędne terenu przed profilowaniem były o co najmniej 2 cm wyższe niż projektowane rzędne podłoża.</w:t>
      </w:r>
    </w:p>
    <w:p w:rsidR="00762C52" w:rsidRPr="00F24CEE" w:rsidRDefault="00762C52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Jeżeli powyższy warunek nie jest spełniony i występują zaniżenia poziomu w podłożu przewidzianym do profilowania Wykonawca powinien spulchnić podłoże na głębokość zaakceptowaną przez Inżyniera, dowi</w:t>
      </w:r>
      <w:r w:rsidR="008F47C8" w:rsidRPr="00F24CEE">
        <w:rPr>
          <w:rFonts w:asciiTheme="majorHAnsi" w:hAnsiTheme="majorHAnsi"/>
          <w:sz w:val="24"/>
          <w:szCs w:val="24"/>
        </w:rPr>
        <w:t>e</w:t>
      </w:r>
      <w:r w:rsidRPr="00F24CEE">
        <w:rPr>
          <w:rFonts w:asciiTheme="majorHAnsi" w:hAnsiTheme="majorHAnsi"/>
          <w:sz w:val="24"/>
          <w:szCs w:val="24"/>
        </w:rPr>
        <w:t>źć dodatkowy grunt spełniający wymagania obowiązujące dla górnej strefy korpusu, w ilości koniecznej do uzyskania wymaganych rzędnych wysokościowych i zagęścić warstwę do uzyskania wartości wskaźnika zagęszczenia określonych w tablicy.</w:t>
      </w:r>
    </w:p>
    <w:p w:rsidR="00762C52" w:rsidRPr="00F24CEE" w:rsidRDefault="00762C52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Do profilowania podłoża należy stosować równiarki. Ścięty grunt powinien być wykorzystany w robotach ziemnych lub w inny sposób zaakceptowany przez Inżyniera.</w:t>
      </w:r>
    </w:p>
    <w:p w:rsidR="00762C52" w:rsidRPr="00F24CEE" w:rsidRDefault="00762C52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Bezpośrednio po profilowaniu podłoża należy przystąpić do zagęszczenia. Zagęszczenie podłoża należy kontynuować do osiągnięcia wskaźnika nie mniejszego niż 0,97. Wskaźnik zagęszczenia należy określić zgodnie z BN-77/8931-12</w:t>
      </w:r>
      <w:r w:rsidR="00084C44" w:rsidRPr="00F24CEE">
        <w:rPr>
          <w:rFonts w:asciiTheme="majorHAnsi" w:hAnsiTheme="majorHAnsi"/>
          <w:sz w:val="24"/>
          <w:szCs w:val="24"/>
        </w:rPr>
        <w:t>.</w:t>
      </w:r>
    </w:p>
    <w:p w:rsidR="00084C44" w:rsidRPr="00F24CEE" w:rsidRDefault="00084C44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W przypadku, gdy gruboziarnisty materiał </w:t>
      </w:r>
      <w:r w:rsidR="00CF0CDC" w:rsidRPr="00F24CEE">
        <w:rPr>
          <w:rFonts w:asciiTheme="majorHAnsi" w:hAnsiTheme="majorHAnsi"/>
          <w:sz w:val="24"/>
          <w:szCs w:val="24"/>
        </w:rPr>
        <w:t>tworzący</w:t>
      </w:r>
      <w:r w:rsidRPr="00F24CEE">
        <w:rPr>
          <w:rFonts w:asciiTheme="majorHAnsi" w:hAnsiTheme="majorHAnsi"/>
          <w:sz w:val="24"/>
          <w:szCs w:val="24"/>
        </w:rPr>
        <w:t xml:space="preserve"> podłoże uniemożliwia przeprowadzenie badania </w:t>
      </w:r>
      <w:r w:rsidR="00CF0CDC" w:rsidRPr="00F24CEE">
        <w:rPr>
          <w:rFonts w:asciiTheme="majorHAnsi" w:hAnsiTheme="majorHAnsi"/>
          <w:sz w:val="24"/>
          <w:szCs w:val="24"/>
        </w:rPr>
        <w:t xml:space="preserve">zagęszczenia, kontrolę zagęszczenia należy oprzeć na metodzie obciążeń płytowych. Należy określić pierwotny i wtórny moduł odkształcenia podłoża według BN-64/8931-02. Stosunek wtórnego i pierwotnego modułu odkształcenia nie powinien przekraczać 2,2. </w:t>
      </w:r>
    </w:p>
    <w:p w:rsidR="00CF0CDC" w:rsidRPr="00F24CEE" w:rsidRDefault="00CF0CDC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Wilgotność gruntu podło</w:t>
      </w:r>
      <w:r w:rsidR="00BC4AEA" w:rsidRPr="00F24CEE">
        <w:rPr>
          <w:rFonts w:asciiTheme="majorHAnsi" w:hAnsiTheme="majorHAnsi"/>
          <w:sz w:val="24"/>
          <w:szCs w:val="24"/>
        </w:rPr>
        <w:t xml:space="preserve">ża podczas zagęszczenia powinna </w:t>
      </w:r>
      <w:r w:rsidRPr="00F24CEE">
        <w:rPr>
          <w:rFonts w:asciiTheme="majorHAnsi" w:hAnsiTheme="majorHAnsi"/>
          <w:sz w:val="24"/>
          <w:szCs w:val="24"/>
        </w:rPr>
        <w:t xml:space="preserve"> być rów</w:t>
      </w:r>
      <w:r w:rsidR="00BC4AEA" w:rsidRPr="00F24CEE">
        <w:rPr>
          <w:rFonts w:asciiTheme="majorHAnsi" w:hAnsiTheme="majorHAnsi"/>
          <w:sz w:val="24"/>
          <w:szCs w:val="24"/>
        </w:rPr>
        <w:t>na wilgotności optymalnej z tolerancją od  -20% do + 10%.</w:t>
      </w:r>
    </w:p>
    <w:p w:rsidR="009772A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BC4AEA" w:rsidRDefault="00BC4AEA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Utrzymanie koryta oraz wyprofilowanego i zagęszczonego podłoża.</w:t>
      </w:r>
    </w:p>
    <w:p w:rsidR="0062574E" w:rsidRPr="009772AE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BC4AEA" w:rsidRPr="00F24CEE" w:rsidRDefault="00BC4AEA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Podłoże (koryto) po wyprofilowaniu i zagęszczeniu powinno być utrzymane w dobrym stanie.</w:t>
      </w:r>
    </w:p>
    <w:p w:rsidR="00BC4AEA" w:rsidRPr="00F24CEE" w:rsidRDefault="00BC4AEA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Jeżeli po wykonaniu robót związanych z profilowaniem i zagęszczeniem podłoża nastąpi przerwa w </w:t>
      </w:r>
      <w:r w:rsidR="009772AE" w:rsidRPr="00F24CEE">
        <w:rPr>
          <w:rFonts w:asciiTheme="majorHAnsi" w:hAnsiTheme="majorHAnsi"/>
          <w:sz w:val="24"/>
          <w:szCs w:val="24"/>
        </w:rPr>
        <w:t>robotach i Wykonawca nie przystą</w:t>
      </w:r>
      <w:r w:rsidRPr="00F24CEE">
        <w:rPr>
          <w:rFonts w:asciiTheme="majorHAnsi" w:hAnsiTheme="majorHAnsi"/>
          <w:sz w:val="24"/>
          <w:szCs w:val="24"/>
        </w:rPr>
        <w:t>pi natychmiast do układania warstw nawierzchni, to powinien on zabezpieczyć podłoże przed nadmiernym zawilgoceniem, na przykład przez rozłożenie folii lub w inny sposób zaakceptowany przez Inżyniera.</w:t>
      </w:r>
    </w:p>
    <w:p w:rsidR="00BC4AEA" w:rsidRPr="00F24CEE" w:rsidRDefault="009772AE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Jeżeli wyprofilowane i zagę</w:t>
      </w:r>
      <w:r w:rsidR="00BC4AEA" w:rsidRPr="00F24CEE">
        <w:rPr>
          <w:rFonts w:asciiTheme="majorHAnsi" w:hAnsiTheme="majorHAnsi"/>
          <w:sz w:val="24"/>
          <w:szCs w:val="24"/>
        </w:rPr>
        <w:t>s</w:t>
      </w:r>
      <w:r w:rsidRPr="00F24CEE">
        <w:rPr>
          <w:rFonts w:asciiTheme="majorHAnsi" w:hAnsiTheme="majorHAnsi"/>
          <w:sz w:val="24"/>
          <w:szCs w:val="24"/>
        </w:rPr>
        <w:t>z</w:t>
      </w:r>
      <w:r w:rsidR="00BC4AEA" w:rsidRPr="00F24CEE">
        <w:rPr>
          <w:rFonts w:asciiTheme="majorHAnsi" w:hAnsiTheme="majorHAnsi"/>
          <w:sz w:val="24"/>
          <w:szCs w:val="24"/>
        </w:rPr>
        <w:t>czone podłoże uległo nadmiernemu zawilgoceniu, to układanie kolejnej warstwy można przystąpić dopiero po jego naturalnym osuszeniu.</w:t>
      </w:r>
    </w:p>
    <w:p w:rsidR="00D258FD" w:rsidRPr="00F24CEE" w:rsidRDefault="00BC4AEA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lastRenderedPageBreak/>
        <w:t>Po osuszeniu podłoża Inżynier oceni jego stan i ewentualnie zaleci wykona</w:t>
      </w:r>
      <w:r w:rsidR="009772AE" w:rsidRPr="00F24CEE">
        <w:rPr>
          <w:rFonts w:asciiTheme="majorHAnsi" w:hAnsiTheme="majorHAnsi"/>
          <w:sz w:val="24"/>
          <w:szCs w:val="24"/>
        </w:rPr>
        <w:t>n</w:t>
      </w:r>
      <w:r w:rsidRPr="00F24CEE">
        <w:rPr>
          <w:rFonts w:asciiTheme="majorHAnsi" w:hAnsiTheme="majorHAnsi"/>
          <w:sz w:val="24"/>
          <w:szCs w:val="24"/>
        </w:rPr>
        <w:t>ie niezbędnych napraw. Jeżeli zawilgocenie nastąpiło wskutek zaniedbania Wykonawcy, to naprawę wykona on na własny koszt.</w:t>
      </w:r>
    </w:p>
    <w:p w:rsidR="009772A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D258FD" w:rsidRDefault="00D258FD" w:rsidP="009772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Kontrola jakości robót</w:t>
      </w:r>
    </w:p>
    <w:p w:rsidR="0062574E" w:rsidRPr="009772AE" w:rsidRDefault="0062574E" w:rsidP="0062574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258FD" w:rsidRDefault="00D258FD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Ogólne zasady kontroli jakości.</w:t>
      </w:r>
    </w:p>
    <w:p w:rsidR="0062574E" w:rsidRPr="009772AE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D258FD" w:rsidRPr="00F24CEE" w:rsidRDefault="00D258FD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Odbioru dokonuje Inżynier na podstawie zgłoszenia kierownika budowy. Sprawdzeniu podlega: zgodność prowadzenia robót z projektem technologii i organizacji robót rozbiórkowych.</w:t>
      </w:r>
    </w:p>
    <w:p w:rsidR="009772AE" w:rsidRPr="009772A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BC4AEA" w:rsidRDefault="00D258FD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Badania w czasie robót.</w:t>
      </w:r>
    </w:p>
    <w:p w:rsidR="0062574E" w:rsidRPr="009772AE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D258FD" w:rsidRPr="0062574E" w:rsidRDefault="00D258FD" w:rsidP="0062574E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574E">
        <w:rPr>
          <w:rFonts w:asciiTheme="majorHAnsi" w:hAnsiTheme="majorHAnsi"/>
          <w:b/>
          <w:sz w:val="24"/>
          <w:szCs w:val="24"/>
        </w:rPr>
        <w:t>Szerokość koryta i profilowanego podłoża nie może różnić się od szerokości projektowanej o więcej niż +10 cm i –5 cm.</w:t>
      </w:r>
    </w:p>
    <w:p w:rsidR="0062574E" w:rsidRPr="0062574E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D258FD" w:rsidRDefault="005F282F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D258FD" w:rsidRPr="009772AE">
        <w:rPr>
          <w:rFonts w:asciiTheme="majorHAnsi" w:hAnsiTheme="majorHAnsi"/>
          <w:b/>
          <w:sz w:val="24"/>
          <w:szCs w:val="24"/>
        </w:rPr>
        <w:t>.2.2. Równość koryta.</w:t>
      </w:r>
    </w:p>
    <w:p w:rsidR="0062574E" w:rsidRPr="009772A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D258FD" w:rsidRDefault="00D258FD" w:rsidP="00F24CEE">
      <w:pPr>
        <w:spacing w:after="0" w:line="240" w:lineRule="auto"/>
        <w:ind w:left="360" w:firstLine="34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Nierówność podłużne koryta i profilowanego podłoża należy mierzyć 4-metrową łatą zgodnie z normą BN-68/8931-04.</w:t>
      </w:r>
    </w:p>
    <w:p w:rsidR="00D258FD" w:rsidRDefault="00D258FD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Nierówności poprzeczne należy mierzyć 4-metrową łatą. Nierówności nie mogą przekraczać 20mm.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258FD" w:rsidRDefault="005F282F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D258FD" w:rsidRPr="009772AE">
        <w:rPr>
          <w:rFonts w:asciiTheme="majorHAnsi" w:hAnsiTheme="majorHAnsi"/>
          <w:b/>
          <w:sz w:val="24"/>
          <w:szCs w:val="24"/>
        </w:rPr>
        <w:t>.2.3. Spadki poprzeczne.</w:t>
      </w:r>
    </w:p>
    <w:p w:rsidR="0062574E" w:rsidRPr="009772A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9B0DA8" w:rsidRDefault="00D258FD" w:rsidP="00F24CEE">
      <w:pPr>
        <w:spacing w:after="0" w:line="240" w:lineRule="auto"/>
        <w:ind w:left="360" w:firstLine="34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Spadki poprzeczne koryta i profilowanego podłoża powinny być zgodne z dokumentacją projektową z tolerancją </w:t>
      </w:r>
      <w:r w:rsidR="009B0DA8">
        <w:rPr>
          <w:rFonts w:asciiTheme="majorHAnsi" w:hAnsiTheme="majorHAnsi"/>
          <w:sz w:val="24"/>
          <w:szCs w:val="24"/>
        </w:rPr>
        <w:t>+_0,5%.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B0DA8" w:rsidRDefault="005F282F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9B0DA8" w:rsidRPr="009772AE">
        <w:rPr>
          <w:rFonts w:asciiTheme="majorHAnsi" w:hAnsiTheme="majorHAnsi"/>
          <w:b/>
          <w:sz w:val="24"/>
          <w:szCs w:val="24"/>
        </w:rPr>
        <w:t>.2.4. Rzędne wysokościowe.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B0DA8" w:rsidRDefault="009B0DA8" w:rsidP="00F24CEE">
      <w:pPr>
        <w:spacing w:after="0" w:line="240" w:lineRule="auto"/>
        <w:ind w:left="360" w:firstLine="34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Różnice pomiędzy rzędnymi wysokościowymi koryta lub wyprofilowanego podłoża i rzędnymi projektowanymi nie powinny przekraczać +1 cm.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B0DA8" w:rsidRDefault="005F282F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9B0DA8" w:rsidRPr="0062574E">
        <w:rPr>
          <w:rFonts w:asciiTheme="majorHAnsi" w:hAnsiTheme="majorHAnsi"/>
          <w:b/>
          <w:sz w:val="24"/>
          <w:szCs w:val="24"/>
        </w:rPr>
        <w:t>.2.5.</w:t>
      </w:r>
      <w:r w:rsidR="009B0DA8">
        <w:rPr>
          <w:rFonts w:asciiTheme="majorHAnsi" w:hAnsiTheme="majorHAnsi"/>
          <w:sz w:val="24"/>
          <w:szCs w:val="24"/>
        </w:rPr>
        <w:t xml:space="preserve"> </w:t>
      </w:r>
      <w:r w:rsidR="009B0DA8" w:rsidRPr="009772AE">
        <w:rPr>
          <w:rFonts w:asciiTheme="majorHAnsi" w:hAnsiTheme="majorHAnsi"/>
          <w:b/>
          <w:sz w:val="24"/>
          <w:szCs w:val="24"/>
        </w:rPr>
        <w:t>Ukształtowanie punktów charakterystycznych i osi w planie.</w:t>
      </w:r>
      <w:r w:rsidR="009B0DA8">
        <w:rPr>
          <w:rFonts w:asciiTheme="majorHAnsi" w:hAnsiTheme="majorHAnsi"/>
          <w:sz w:val="24"/>
          <w:szCs w:val="24"/>
        </w:rPr>
        <w:t xml:space="preserve"> 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258FD" w:rsidRDefault="009B0DA8" w:rsidP="00F24CEE">
      <w:pPr>
        <w:spacing w:after="0" w:line="240" w:lineRule="auto"/>
        <w:ind w:left="360" w:firstLine="34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Punkty charakterystyczne oraz oś w planie nie mogą być przesunięte w stosunku do stanu projektowanego o więcej niż +_ 5 cm.</w:t>
      </w:r>
    </w:p>
    <w:p w:rsidR="00613AC7" w:rsidRDefault="00613AC7" w:rsidP="00F24CEE">
      <w:pPr>
        <w:spacing w:after="0" w:line="240" w:lineRule="auto"/>
        <w:ind w:left="360" w:firstLine="348"/>
        <w:jc w:val="both"/>
        <w:rPr>
          <w:rFonts w:asciiTheme="majorHAnsi" w:hAnsiTheme="majorHAnsi"/>
          <w:sz w:val="24"/>
          <w:szCs w:val="24"/>
        </w:rPr>
      </w:pPr>
    </w:p>
    <w:p w:rsidR="009B0DA8" w:rsidRDefault="00613AC7" w:rsidP="009772AE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613AC7">
        <w:rPr>
          <w:rFonts w:asciiTheme="majorHAnsi" w:hAnsiTheme="majorHAnsi"/>
          <w:b/>
          <w:sz w:val="24"/>
          <w:szCs w:val="24"/>
        </w:rPr>
        <w:t>3</w:t>
      </w:r>
      <w:r w:rsidR="009B0DA8" w:rsidRPr="00613AC7">
        <w:rPr>
          <w:rFonts w:asciiTheme="majorHAnsi" w:hAnsiTheme="majorHAnsi"/>
          <w:b/>
          <w:sz w:val="24"/>
          <w:szCs w:val="24"/>
        </w:rPr>
        <w:t>.2.6.</w:t>
      </w:r>
      <w:r w:rsidR="009B0DA8">
        <w:rPr>
          <w:rFonts w:asciiTheme="majorHAnsi" w:hAnsiTheme="majorHAnsi"/>
          <w:sz w:val="24"/>
          <w:szCs w:val="24"/>
        </w:rPr>
        <w:t xml:space="preserve"> </w:t>
      </w:r>
      <w:r w:rsidR="009B0DA8" w:rsidRPr="009772AE">
        <w:rPr>
          <w:rFonts w:asciiTheme="majorHAnsi" w:hAnsiTheme="majorHAnsi"/>
          <w:b/>
          <w:sz w:val="24"/>
          <w:szCs w:val="24"/>
        </w:rPr>
        <w:t>Zagęszczenie koryta (profilowanie podłoża).</w:t>
      </w:r>
    </w:p>
    <w:p w:rsidR="00613AC7" w:rsidRDefault="00613AC7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B0DA8" w:rsidRDefault="009B0DA8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Wskaźnik zagęszczenia koryta i wyprofilowanego podłoża określi wg BN-77/8931-12 nie powinien być mniejszy od 0,97.</w:t>
      </w:r>
    </w:p>
    <w:p w:rsidR="009B0DA8" w:rsidRDefault="009B0DA8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Jeśli jako kryterium dobrego zagęszczenia stosuje się porównanie wartości modułów odkształcania, to wartość stosunku wtórnego do pierwotnego modułu odkształcenia, określonych zgodnie z normą BN-64/8931-02 nie powinna być większa od 2,2.</w:t>
      </w:r>
    </w:p>
    <w:p w:rsidR="009B0DA8" w:rsidRDefault="009B0DA8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Wilgotność w czasie zagęszczenia należy badać według PN-B-06714-17. Wilgotność gruntu podłoża powinna być równa wilgotności optymalnej z tolerancją od -20% do +10%.</w:t>
      </w:r>
    </w:p>
    <w:p w:rsidR="0062574E" w:rsidRDefault="0062574E" w:rsidP="009772A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B0DA8" w:rsidRDefault="009B0DA8" w:rsidP="009772A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Zasady postępowania z wadliwie wykonanymi odcinkami koryta (profilowanie podłoża).</w:t>
      </w:r>
    </w:p>
    <w:p w:rsidR="0062574E" w:rsidRPr="009772AE" w:rsidRDefault="0062574E" w:rsidP="0062574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D258FD" w:rsidRPr="00F24CEE" w:rsidRDefault="00EE6FD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Wszystkie powierzchnie, które wykazują większe odchylenia cech geometrycznych</w:t>
      </w:r>
      <w:bookmarkStart w:id="0" w:name="_GoBack"/>
      <w:bookmarkEnd w:id="0"/>
      <w:r w:rsidRPr="00F24CEE">
        <w:rPr>
          <w:rFonts w:asciiTheme="majorHAnsi" w:hAnsiTheme="majorHAnsi"/>
          <w:sz w:val="24"/>
          <w:szCs w:val="24"/>
        </w:rPr>
        <w:t>. powinny być naprawione przez spulchnienie do głębokości 10 cm, wyrównane i powtórnie  zagęszczone. Dodanie nowego materiału bez spulchnienia wykonanej warstwy jest niedopuszczalne.</w:t>
      </w:r>
    </w:p>
    <w:p w:rsidR="009772AE" w:rsidRDefault="009772AE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</w:p>
    <w:p w:rsidR="00EE6FD1" w:rsidRDefault="00EE6FD1" w:rsidP="009772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Obmiar robót.</w:t>
      </w:r>
    </w:p>
    <w:p w:rsidR="0062574E" w:rsidRPr="009772AE" w:rsidRDefault="0062574E" w:rsidP="0062574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E6FD1" w:rsidRPr="00F24CEE" w:rsidRDefault="00EE6FD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Nie dotyczy obowiązuje cena ryczałtowa.</w:t>
      </w:r>
    </w:p>
    <w:p w:rsidR="009772AE" w:rsidRPr="009772AE" w:rsidRDefault="009772AE" w:rsidP="009772A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E6FD1" w:rsidRDefault="00EE6FD1" w:rsidP="009772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72AE">
        <w:rPr>
          <w:rFonts w:asciiTheme="majorHAnsi" w:hAnsiTheme="majorHAnsi"/>
          <w:b/>
          <w:sz w:val="24"/>
          <w:szCs w:val="24"/>
        </w:rPr>
        <w:t>Odbiór robót.</w:t>
      </w:r>
    </w:p>
    <w:p w:rsidR="0062574E" w:rsidRPr="009772AE" w:rsidRDefault="0062574E" w:rsidP="0062574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E6FD1" w:rsidRPr="00F24CEE" w:rsidRDefault="00EE6FD1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Odbiorom podlegają wszystkie roboty wymienione w niniejszej Specyfikacji Technicznej według zasad podanych w odpowiednich przepisach.</w:t>
      </w:r>
    </w:p>
    <w:p w:rsidR="00EE6FD1" w:rsidRPr="00F24CEE" w:rsidRDefault="00EE6FD1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- odbiór końcowy (stwierdzenie wykonania zakresu robót przewidzianego w dokumentacji.</w:t>
      </w:r>
    </w:p>
    <w:p w:rsidR="0062574E" w:rsidRDefault="0062574E" w:rsidP="009772AE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E6FD1" w:rsidRPr="0062574E" w:rsidRDefault="00EE6FD1" w:rsidP="006257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574E">
        <w:rPr>
          <w:rFonts w:asciiTheme="majorHAnsi" w:hAnsiTheme="majorHAnsi"/>
          <w:b/>
          <w:sz w:val="24"/>
          <w:szCs w:val="24"/>
        </w:rPr>
        <w:t>Podstawa Płatności.</w:t>
      </w:r>
    </w:p>
    <w:p w:rsidR="0062574E" w:rsidRPr="0062574E" w:rsidRDefault="0062574E" w:rsidP="0062574E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E6FD1" w:rsidRPr="00F24CEE" w:rsidRDefault="00F24CEE" w:rsidP="00F24CE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24CEE">
        <w:rPr>
          <w:rFonts w:asciiTheme="majorHAnsi" w:hAnsiTheme="majorHAnsi"/>
          <w:b/>
          <w:sz w:val="24"/>
          <w:szCs w:val="24"/>
        </w:rPr>
        <w:t>6</w:t>
      </w:r>
      <w:r w:rsidR="00EE6FD1" w:rsidRPr="00F24CEE">
        <w:rPr>
          <w:rFonts w:asciiTheme="majorHAnsi" w:hAnsiTheme="majorHAnsi"/>
          <w:b/>
          <w:sz w:val="24"/>
          <w:szCs w:val="24"/>
        </w:rPr>
        <w:t>.1. Ogólne warunki płatności.</w:t>
      </w:r>
    </w:p>
    <w:p w:rsidR="009E6115" w:rsidRPr="00F24CEE" w:rsidRDefault="009E6115" w:rsidP="00F24CEE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 xml:space="preserve">Podstawą płatności jest </w:t>
      </w:r>
      <w:r w:rsidR="00436CD8" w:rsidRPr="00F24CEE">
        <w:rPr>
          <w:rFonts w:asciiTheme="majorHAnsi" w:hAnsiTheme="majorHAnsi"/>
          <w:sz w:val="24"/>
          <w:szCs w:val="24"/>
        </w:rPr>
        <w:t>wykonanie kompletnego zadania zgodnie z umową. Cena za wykonanie zadania jest ceną ryczałtową i obejmuje wykonanie wszystkich prac opisanych w dokumentacji projektowej</w:t>
      </w:r>
      <w:r w:rsidR="0062574E" w:rsidRPr="00F24CEE">
        <w:rPr>
          <w:rFonts w:asciiTheme="majorHAnsi" w:hAnsiTheme="majorHAnsi"/>
          <w:sz w:val="24"/>
          <w:szCs w:val="24"/>
        </w:rPr>
        <w:t>.</w:t>
      </w:r>
    </w:p>
    <w:p w:rsidR="0062574E" w:rsidRDefault="0062574E" w:rsidP="009772AE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E6FD1" w:rsidRPr="005F282F" w:rsidRDefault="00436CD8" w:rsidP="005F28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F282F">
        <w:rPr>
          <w:rFonts w:asciiTheme="majorHAnsi" w:hAnsiTheme="majorHAnsi"/>
          <w:b/>
          <w:sz w:val="24"/>
          <w:szCs w:val="24"/>
        </w:rPr>
        <w:t>Przepisy związane.</w:t>
      </w:r>
    </w:p>
    <w:p w:rsidR="0062574E" w:rsidRPr="009772AE" w:rsidRDefault="0062574E" w:rsidP="0062574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36CD8" w:rsidRPr="00F24CEE" w:rsidRDefault="00436CD8" w:rsidP="00F24C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4CEE">
        <w:rPr>
          <w:rFonts w:asciiTheme="majorHAnsi" w:hAnsiTheme="majorHAnsi"/>
          <w:sz w:val="24"/>
          <w:szCs w:val="24"/>
        </w:rPr>
        <w:t>- Ustawa z dnia 7 l</w:t>
      </w:r>
      <w:r w:rsidR="00232994">
        <w:rPr>
          <w:rFonts w:asciiTheme="majorHAnsi" w:hAnsiTheme="majorHAnsi"/>
          <w:sz w:val="24"/>
          <w:szCs w:val="24"/>
        </w:rPr>
        <w:t>ipca 1994r. – Prawo budowlane (D</w:t>
      </w:r>
      <w:r w:rsidRPr="00F24CEE">
        <w:rPr>
          <w:rFonts w:asciiTheme="majorHAnsi" w:hAnsiTheme="majorHAnsi"/>
          <w:sz w:val="24"/>
          <w:szCs w:val="24"/>
        </w:rPr>
        <w:t>z. U.</w:t>
      </w:r>
      <w:r w:rsidR="00232994">
        <w:rPr>
          <w:rFonts w:asciiTheme="majorHAnsi" w:hAnsiTheme="majorHAnsi"/>
          <w:sz w:val="24"/>
          <w:szCs w:val="24"/>
        </w:rPr>
        <w:t>2016</w:t>
      </w:r>
      <w:r w:rsidRPr="00F24CEE">
        <w:rPr>
          <w:rFonts w:asciiTheme="majorHAnsi" w:hAnsiTheme="majorHAnsi"/>
          <w:sz w:val="24"/>
          <w:szCs w:val="24"/>
        </w:rPr>
        <w:t xml:space="preserve">, poz. </w:t>
      </w:r>
      <w:r w:rsidR="00232994">
        <w:rPr>
          <w:rFonts w:asciiTheme="majorHAnsi" w:hAnsiTheme="majorHAnsi"/>
          <w:sz w:val="24"/>
          <w:szCs w:val="24"/>
        </w:rPr>
        <w:t>290)</w:t>
      </w:r>
    </w:p>
    <w:p w:rsidR="00436CD8" w:rsidRPr="00EE6FD1" w:rsidRDefault="00436CD8" w:rsidP="009772AE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51D41" w:rsidRPr="002604BC" w:rsidRDefault="00451D41" w:rsidP="009772A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B9539E" w:rsidRPr="00B9539E" w:rsidRDefault="00B9539E" w:rsidP="009772AE">
      <w:pPr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</w:p>
    <w:p w:rsidR="00680285" w:rsidRPr="008A6848" w:rsidRDefault="00680285" w:rsidP="009772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A6848" w:rsidRPr="008A6848" w:rsidRDefault="008A6848" w:rsidP="009772AE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sectPr w:rsidR="008A6848" w:rsidRPr="008A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6C8"/>
    <w:multiLevelType w:val="hybridMultilevel"/>
    <w:tmpl w:val="F5CE6460"/>
    <w:lvl w:ilvl="0" w:tplc="222C4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92E4F"/>
    <w:multiLevelType w:val="hybridMultilevel"/>
    <w:tmpl w:val="2EFCEA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2F99"/>
    <w:multiLevelType w:val="multilevel"/>
    <w:tmpl w:val="72A2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793256"/>
    <w:multiLevelType w:val="hybridMultilevel"/>
    <w:tmpl w:val="D44E3A76"/>
    <w:lvl w:ilvl="0" w:tplc="EC424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4E0BD6"/>
    <w:multiLevelType w:val="multilevel"/>
    <w:tmpl w:val="A6326A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71D17E2"/>
    <w:multiLevelType w:val="multilevel"/>
    <w:tmpl w:val="8ED4F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88F0035"/>
    <w:multiLevelType w:val="multilevel"/>
    <w:tmpl w:val="72A2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795428"/>
    <w:multiLevelType w:val="hybridMultilevel"/>
    <w:tmpl w:val="5F1EA084"/>
    <w:lvl w:ilvl="0" w:tplc="D584C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516C"/>
    <w:multiLevelType w:val="multilevel"/>
    <w:tmpl w:val="3E524646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8"/>
    <w:rsid w:val="00084C44"/>
    <w:rsid w:val="00232994"/>
    <w:rsid w:val="002604BC"/>
    <w:rsid w:val="00280E62"/>
    <w:rsid w:val="00407CA8"/>
    <w:rsid w:val="00436CD8"/>
    <w:rsid w:val="00451D41"/>
    <w:rsid w:val="00573233"/>
    <w:rsid w:val="005F282F"/>
    <w:rsid w:val="0060414C"/>
    <w:rsid w:val="00607C47"/>
    <w:rsid w:val="00613AC7"/>
    <w:rsid w:val="0062574E"/>
    <w:rsid w:val="00680285"/>
    <w:rsid w:val="007278AB"/>
    <w:rsid w:val="00762C52"/>
    <w:rsid w:val="007D7CA4"/>
    <w:rsid w:val="00803354"/>
    <w:rsid w:val="00805CD8"/>
    <w:rsid w:val="008A6848"/>
    <w:rsid w:val="008F47C8"/>
    <w:rsid w:val="009226CE"/>
    <w:rsid w:val="00940D79"/>
    <w:rsid w:val="009770D1"/>
    <w:rsid w:val="009772AE"/>
    <w:rsid w:val="009B0DA8"/>
    <w:rsid w:val="009E6115"/>
    <w:rsid w:val="00A102A4"/>
    <w:rsid w:val="00A67938"/>
    <w:rsid w:val="00B54D8E"/>
    <w:rsid w:val="00B9539E"/>
    <w:rsid w:val="00BA5A10"/>
    <w:rsid w:val="00BC4AEA"/>
    <w:rsid w:val="00C63AE5"/>
    <w:rsid w:val="00C93064"/>
    <w:rsid w:val="00CF0CDC"/>
    <w:rsid w:val="00D258FD"/>
    <w:rsid w:val="00EC0AEF"/>
    <w:rsid w:val="00EE6FD1"/>
    <w:rsid w:val="00F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Kazik</cp:lastModifiedBy>
  <cp:revision>2</cp:revision>
  <dcterms:created xsi:type="dcterms:W3CDTF">2017-03-16T09:17:00Z</dcterms:created>
  <dcterms:modified xsi:type="dcterms:W3CDTF">2017-03-16T09:17:00Z</dcterms:modified>
</cp:coreProperties>
</file>